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61B4113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E487B">
        <w:rPr>
          <w:rFonts w:asciiTheme="majorHAnsi" w:eastAsia="Times New Roman" w:hAnsiTheme="majorHAnsi" w:cs="Times New Roman"/>
          <w:lang w:eastAsia="cs-CZ"/>
        </w:rPr>
        <w:t>8</w:t>
      </w:r>
      <w:r w:rsidR="00834BBA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222AEB3B" w:rsidR="005740C3" w:rsidRPr="00F20995" w:rsidRDefault="005740C3" w:rsidP="00834BBA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34BBA">
        <w:rPr>
          <w:rFonts w:eastAsia="Times New Roman" w:cs="Times New Roman"/>
          <w:b/>
          <w:lang w:eastAsia="cs-CZ"/>
        </w:rPr>
        <w:t xml:space="preserve">Číslo smlouvy objednatele </w:t>
      </w:r>
      <w:r w:rsidRPr="00834BBA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834BB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834BBA">
        <w:rPr>
          <w:rFonts w:eastAsia="Times New Roman" w:cs="Times New Roman"/>
          <w:lang w:eastAsia="cs-CZ"/>
        </w:rPr>
        <w:t>IČO 70994234, DIČ CZ70994234</w:t>
      </w:r>
    </w:p>
    <w:p w14:paraId="686BA1F9" w14:textId="163594A7" w:rsidR="004E1498" w:rsidRPr="00834BB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34BBA">
        <w:rPr>
          <w:rFonts w:eastAsia="Times New Roman" w:cs="Times New Roman"/>
          <w:lang w:eastAsia="cs-CZ"/>
        </w:rPr>
        <w:tab/>
      </w:r>
      <w:r w:rsidRPr="00834BBA">
        <w:rPr>
          <w:rFonts w:eastAsia="Times New Roman" w:cs="Times New Roman"/>
          <w:lang w:eastAsia="cs-CZ"/>
        </w:rPr>
        <w:tab/>
        <w:t xml:space="preserve">                            </w:t>
      </w:r>
      <w:r w:rsidRPr="00834BBA">
        <w:rPr>
          <w:rFonts w:eastAsia="Times New Roman" w:cs="Times New Roman"/>
          <w:lang w:eastAsia="cs-CZ"/>
        </w:rPr>
        <w:tab/>
      </w:r>
    </w:p>
    <w:p w14:paraId="0431CDBD" w14:textId="62576521" w:rsidR="004E1498" w:rsidRPr="00834BB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34BBA">
        <w:rPr>
          <w:rFonts w:eastAsia="Times New Roman" w:cs="Times New Roman"/>
          <w:b/>
          <w:lang w:eastAsia="cs-CZ"/>
        </w:rPr>
        <w:t xml:space="preserve">                       organizační složka </w:t>
      </w:r>
      <w:r w:rsidR="00834BBA" w:rsidRPr="00834BBA">
        <w:rPr>
          <w:rFonts w:eastAsia="Times New Roman" w:cs="Times New Roman"/>
          <w:b/>
          <w:lang w:eastAsia="cs-CZ"/>
        </w:rPr>
        <w:t>Oblastní ředitelství Olomouc</w:t>
      </w:r>
      <w:r w:rsidRPr="00834BBA">
        <w:rPr>
          <w:rFonts w:eastAsia="Times New Roman" w:cs="Times New Roman"/>
          <w:b/>
          <w:lang w:eastAsia="cs-CZ"/>
        </w:rPr>
        <w:t xml:space="preserve">, </w:t>
      </w:r>
      <w:r w:rsidR="00834BBA" w:rsidRPr="00834BBA">
        <w:rPr>
          <w:rFonts w:eastAsia="Times New Roman" w:cs="Times New Roman"/>
          <w:b/>
          <w:lang w:eastAsia="cs-CZ"/>
        </w:rPr>
        <w:t xml:space="preserve">Nerudova 1, </w:t>
      </w:r>
      <w:r w:rsidR="00834BBA" w:rsidRPr="00834BBA">
        <w:rPr>
          <w:rFonts w:eastAsia="Times New Roman" w:cs="Times New Roman"/>
          <w:b/>
          <w:lang w:eastAsia="cs-CZ"/>
        </w:rPr>
        <w:br/>
        <w:t xml:space="preserve">                                                       779 00 Olomouc</w:t>
      </w:r>
    </w:p>
    <w:p w14:paraId="05AE7DF1" w14:textId="4AC4B207" w:rsidR="004E1498" w:rsidRPr="004E1498" w:rsidRDefault="00834BBA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34BBA">
        <w:rPr>
          <w:rFonts w:eastAsia="Times New Roman" w:cs="Times New Roman"/>
          <w:lang w:eastAsia="cs-CZ"/>
        </w:rPr>
        <w:t>zastoupená Ing. Ladislavem Kašparem, ředitelem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6137B56" w:rsidR="004E1498" w:rsidRPr="004E1498" w:rsidRDefault="004E1498" w:rsidP="00254D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bookmarkStart w:id="0" w:name="_Toc403053768"/>
      <w:r w:rsidR="00D74377" w:rsidRPr="0058525C">
        <w:rPr>
          <w:rFonts w:eastAsia="Times New Roman" w:cs="Times New Roman"/>
          <w:b/>
          <w:lang w:eastAsia="cs-CZ"/>
        </w:rPr>
        <w:t>„</w:t>
      </w:r>
      <w:bookmarkEnd w:id="0"/>
      <w:r w:rsidR="00D74377" w:rsidRPr="00D059D2">
        <w:rPr>
          <w:rFonts w:eastAsia="Times New Roman" w:cs="Times New Roman"/>
          <w:b/>
          <w:lang w:eastAsia="cs-CZ"/>
        </w:rPr>
        <w:t>Výměna topných zdrojů b. j. v obvodu OŘ Olomouc</w:t>
      </w:r>
      <w:r w:rsidR="00D74377" w:rsidRPr="0058525C">
        <w:rPr>
          <w:rFonts w:eastAsia="Times New Roman" w:cs="Times New Roman"/>
          <w:b/>
          <w:lang w:eastAsia="cs-CZ"/>
        </w:rPr>
        <w:t>“</w:t>
      </w:r>
      <w:r w:rsidR="00D74377" w:rsidRPr="0058525C">
        <w:rPr>
          <w:rFonts w:eastAsia="Times New Roman" w:cs="Times New Roman"/>
          <w:lang w:eastAsia="cs-CZ"/>
        </w:rPr>
        <w:t xml:space="preserve">, č.j. </w:t>
      </w:r>
      <w:r w:rsidR="00D74377" w:rsidRPr="00D059D2">
        <w:rPr>
          <w:rFonts w:eastAsia="Times New Roman" w:cs="Times New Roman"/>
          <w:lang w:eastAsia="cs-CZ"/>
        </w:rPr>
        <w:t>18821/2021-SŽ-OŘ OLC-NPI</w:t>
      </w:r>
      <w:r w:rsidR="00254DAD" w:rsidRPr="00254DAD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254DAD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23FB83A" w14:textId="77777777" w:rsidR="00D74377" w:rsidRPr="00D74377" w:rsidRDefault="004E1498" w:rsidP="00D74377">
      <w:pPr>
        <w:pStyle w:val="Nadpis2"/>
        <w:overflowPunct/>
        <w:autoSpaceDE/>
        <w:autoSpaceDN/>
        <w:adjustRightInd/>
        <w:spacing w:before="120" w:after="120"/>
        <w:contextualSpacing w:val="0"/>
        <w:textAlignment w:val="auto"/>
        <w:rPr>
          <w:rFonts w:eastAsiaTheme="minorHAnsi" w:cstheme="minorBidi"/>
          <w:lang w:eastAsia="en-US"/>
        </w:rPr>
      </w:pPr>
      <w:r w:rsidRPr="004E1498">
        <w:t xml:space="preserve">Předmětem díla je </w:t>
      </w:r>
      <w:r w:rsidR="00D74377" w:rsidRPr="00D74377">
        <w:rPr>
          <w:rFonts w:eastAsiaTheme="minorHAnsi" w:cstheme="minorBidi"/>
          <w:lang w:eastAsia="en-US"/>
        </w:rPr>
        <w:t>odstranění závad topných zdrojů b. j. v obvodu OŘ Olomouc.</w:t>
      </w:r>
    </w:p>
    <w:p w14:paraId="418B7830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Demontáž a montáž potrubí rozvodů ÚT, včetně tepelné izolace</w:t>
      </w:r>
    </w:p>
    <w:p w14:paraId="1E8EB197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Výměna kotlů na tuhá paliva, včetně příslušenství</w:t>
      </w:r>
    </w:p>
    <w:p w14:paraId="633FB3C3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Demontáž a montáž tlakových expanzních nádob</w:t>
      </w:r>
    </w:p>
    <w:p w14:paraId="1DE02BBD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Oprava a prohlídka spalinových cest</w:t>
      </w:r>
    </w:p>
    <w:p w14:paraId="3BFABAB7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Výměna top. armatur a ventilů</w:t>
      </w:r>
    </w:p>
    <w:p w14:paraId="1CD9DC25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>Zapravení průrazů zdiva včetně opravy omítek s finální povrchovou úpravou</w:t>
      </w:r>
    </w:p>
    <w:p w14:paraId="6CDF2CDD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lastRenderedPageBreak/>
        <w:t>Částečná oprava klempířských prvků včetně střešní krytiny</w:t>
      </w:r>
    </w:p>
    <w:p w14:paraId="48C907AE" w14:textId="77777777" w:rsidR="00D74377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hanging="77"/>
        <w:contextualSpacing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 xml:space="preserve">Oprava tesařských části střešních k-cí </w:t>
      </w:r>
    </w:p>
    <w:p w14:paraId="03F039C6" w14:textId="46BDAF66" w:rsidR="004E1498" w:rsidRPr="00D74377" w:rsidRDefault="00D74377" w:rsidP="00D74377">
      <w:pPr>
        <w:numPr>
          <w:ilvl w:val="0"/>
          <w:numId w:val="32"/>
        </w:numPr>
        <w:tabs>
          <w:tab w:val="left" w:pos="567"/>
          <w:tab w:val="left" w:pos="709"/>
          <w:tab w:val="left" w:pos="6840"/>
        </w:tabs>
        <w:overflowPunct w:val="0"/>
        <w:autoSpaceDE w:val="0"/>
        <w:autoSpaceDN w:val="0"/>
        <w:adjustRightInd w:val="0"/>
        <w:spacing w:after="120" w:line="240" w:lineRule="auto"/>
        <w:ind w:left="646" w:hanging="79"/>
        <w:textAlignment w:val="baseline"/>
        <w:rPr>
          <w:rFonts w:eastAsia="Times New Roman" w:cs="Arial"/>
          <w:color w:val="000000"/>
          <w:lang w:eastAsia="cs-CZ"/>
        </w:rPr>
      </w:pPr>
      <w:r w:rsidRPr="00D74377">
        <w:rPr>
          <w:rFonts w:eastAsia="Times New Roman" w:cs="Arial"/>
          <w:color w:val="000000"/>
          <w:lang w:eastAsia="cs-CZ"/>
        </w:rPr>
        <w:t xml:space="preserve">Provedení potřebných revizí a zkoušek pro bezpečné provozování </w:t>
      </w:r>
    </w:p>
    <w:p w14:paraId="31E5226B" w14:textId="33E12F38" w:rsidR="004E1498" w:rsidRPr="00254DAD" w:rsidRDefault="004E1498" w:rsidP="00254DAD">
      <w:pPr>
        <w:pStyle w:val="Nadpis2"/>
        <w:spacing w:after="120"/>
        <w:ind w:left="578" w:hanging="578"/>
        <w:contextualSpacing w:val="0"/>
        <w:jc w:val="left"/>
      </w:pPr>
      <w:r w:rsidRPr="00254DAD">
        <w:t>Předmět díla je blíže specifikován v přílo</w:t>
      </w:r>
      <w:r w:rsidR="00CB53B1" w:rsidRPr="00254DAD">
        <w:t>ze</w:t>
      </w:r>
      <w:r w:rsidRPr="00254DAD">
        <w:t xml:space="preserve"> </w:t>
      </w:r>
      <w:r w:rsidR="00254DAD" w:rsidRPr="00254DAD">
        <w:t xml:space="preserve">č. 1 </w:t>
      </w:r>
      <w:r w:rsidR="006566F7" w:rsidRPr="00254DAD">
        <w:t>S</w:t>
      </w:r>
      <w:r w:rsidRPr="00254DAD">
        <w:t>mlouvy.</w:t>
      </w:r>
    </w:p>
    <w:p w14:paraId="7E65FD92" w14:textId="538B3BF1" w:rsidR="00254DAD" w:rsidRPr="00254DAD" w:rsidRDefault="004E1498" w:rsidP="00254DAD">
      <w:pPr>
        <w:pStyle w:val="Nadpis2"/>
        <w:jc w:val="left"/>
      </w:pPr>
      <w:r w:rsidRPr="00254DAD">
        <w:t>Jakost ani provedení Předmětu díla není určeno vzorkem ani předlohou.</w:t>
      </w:r>
      <w:bookmarkStart w:id="1" w:name="_GoBack"/>
      <w:bookmarkEnd w:id="1"/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5BFC1592" w:rsidR="005740C3" w:rsidRPr="00254DAD" w:rsidRDefault="00254DAD" w:rsidP="00254DAD">
      <w:pPr>
        <w:pStyle w:val="Nadpis2"/>
        <w:spacing w:after="120"/>
        <w:contextualSpacing w:val="0"/>
        <w:jc w:val="left"/>
      </w:pPr>
      <w:r>
        <w:t xml:space="preserve">Cena bez DPH </w:t>
      </w:r>
      <w:r>
        <w:tab/>
      </w:r>
      <w:r>
        <w:tab/>
        <w:t xml:space="preserve"> </w:t>
      </w:r>
      <w:r w:rsidRPr="00906A20">
        <w:rPr>
          <w:b/>
        </w:rPr>
        <w:t>………………. Kč</w:t>
      </w:r>
      <w:r w:rsidR="00810E9B" w:rsidRPr="00254DAD">
        <w:t xml:space="preserve"> </w:t>
      </w:r>
    </w:p>
    <w:p w14:paraId="7979BC31" w14:textId="1C3EB7F5" w:rsidR="005740C3" w:rsidRPr="00254DAD" w:rsidRDefault="00254DAD" w:rsidP="00254DAD">
      <w:pPr>
        <w:pStyle w:val="Nadpis2"/>
        <w:spacing w:after="120"/>
        <w:contextualSpacing w:val="0"/>
        <w:jc w:val="left"/>
      </w:pPr>
      <w:r w:rsidRPr="00254DAD">
        <w:t xml:space="preserve">Výše DPH 21%     </w:t>
      </w:r>
      <w:r w:rsidRPr="00254DAD">
        <w:tab/>
        <w:t xml:space="preserve"> ………………. Kč</w:t>
      </w:r>
    </w:p>
    <w:p w14:paraId="13EC6F11" w14:textId="22E495FD" w:rsidR="00810E9B" w:rsidRPr="00254DAD" w:rsidRDefault="00254DAD" w:rsidP="00254DAD">
      <w:pPr>
        <w:pStyle w:val="Nadpis2"/>
        <w:spacing w:after="120"/>
        <w:contextualSpacing w:val="0"/>
        <w:jc w:val="left"/>
      </w:pPr>
      <w:r w:rsidRPr="00254DAD">
        <w:t xml:space="preserve">Cena včetně DPH </w:t>
      </w:r>
      <w:r w:rsidRPr="00254DAD">
        <w:tab/>
        <w:t xml:space="preserve"> ………………. Kč</w:t>
      </w:r>
    </w:p>
    <w:p w14:paraId="36DF1F7F" w14:textId="0AE866F7" w:rsidR="00810E9B" w:rsidRPr="00254DAD" w:rsidRDefault="00810E9B" w:rsidP="00254DAD">
      <w:pPr>
        <w:pStyle w:val="Nadpis2"/>
        <w:spacing w:after="120"/>
        <w:contextualSpacing w:val="0"/>
        <w:jc w:val="left"/>
      </w:pPr>
      <w:r w:rsidRPr="00254DAD">
        <w:t>Zhotovitelem oceněný položkový rozp</w:t>
      </w:r>
      <w:r w:rsidR="006566F7" w:rsidRPr="00254DAD">
        <w:t>očet Díla je přílohou č.</w:t>
      </w:r>
      <w:r w:rsidR="00254DAD" w:rsidRPr="00254DAD">
        <w:t xml:space="preserve"> 2</w:t>
      </w:r>
      <w:r w:rsidR="006566F7" w:rsidRPr="00254DAD">
        <w:t xml:space="preserve"> </w:t>
      </w:r>
      <w:r w:rsidRPr="00254DAD">
        <w:t>Smlouvy.</w:t>
      </w:r>
    </w:p>
    <w:p w14:paraId="47577664" w14:textId="28AEFCBC" w:rsidR="00D74377" w:rsidRDefault="00810E9B" w:rsidP="00D74377">
      <w:pPr>
        <w:pStyle w:val="Nadpis2"/>
        <w:spacing w:after="120"/>
        <w:ind w:left="578" w:hanging="578"/>
        <w:contextualSpacing w:val="0"/>
      </w:pPr>
      <w:r w:rsidRPr="003A6C16">
        <w:t xml:space="preserve">Fakturace bude provedena </w:t>
      </w:r>
      <w:r w:rsidR="00254DAD" w:rsidRPr="003A6C16">
        <w:t xml:space="preserve">měsíčně </w:t>
      </w:r>
      <w:r w:rsidR="00D74377" w:rsidRPr="00D74377">
        <w:t xml:space="preserve">na základě skutečně provedených </w:t>
      </w:r>
      <w:r w:rsidR="00D74377">
        <w:t xml:space="preserve">prací a </w:t>
      </w:r>
      <w:r w:rsidR="00CB53B1" w:rsidRPr="003A6C16">
        <w:t xml:space="preserve">předávacího protokolu podepsaného </w:t>
      </w:r>
      <w:r w:rsidR="006566F7" w:rsidRPr="003A6C16">
        <w:t>oběma S</w:t>
      </w:r>
      <w:r w:rsidR="00FA32F8" w:rsidRPr="003A6C16">
        <w:t>mluvními stranami</w:t>
      </w:r>
      <w:r w:rsidR="00254DAD" w:rsidRPr="003A6C16">
        <w:t>.</w:t>
      </w:r>
    </w:p>
    <w:p w14:paraId="38482F6F" w14:textId="4C765F63" w:rsidR="00D74377" w:rsidRPr="00D74377" w:rsidRDefault="00D74377" w:rsidP="00D74377">
      <w:pPr>
        <w:pStyle w:val="Nadpis2"/>
        <w:spacing w:after="120"/>
        <w:ind w:left="578" w:hanging="578"/>
        <w:contextualSpacing w:val="0"/>
      </w:pPr>
      <w:r w:rsidRPr="00D74377">
        <w:rPr>
          <w:rFonts w:ascii="Verdana" w:hAnsi="Verdana" w:cstheme="minorHAnsi"/>
        </w:rPr>
        <w:t>Daňové doklady, vč. všech příloh, budou zasílány následovně:</w:t>
      </w:r>
    </w:p>
    <w:p w14:paraId="4450868C" w14:textId="77777777" w:rsidR="00D74377" w:rsidRDefault="00D74377" w:rsidP="00D74377">
      <w:pPr>
        <w:pStyle w:val="Odstavecseseznamem"/>
        <w:numPr>
          <w:ilvl w:val="0"/>
          <w:numId w:val="34"/>
        </w:numPr>
        <w:tabs>
          <w:tab w:val="left" w:pos="1560"/>
        </w:tabs>
        <w:spacing w:after="0" w:line="240" w:lineRule="auto"/>
        <w:ind w:left="1077" w:firstLine="198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 digitální podobě na e-mailovou adresu </w:t>
      </w:r>
      <w:hyperlink r:id="rId11" w:history="1">
        <w:r>
          <w:rPr>
            <w:rStyle w:val="Hypertextovodkaz"/>
            <w:rFonts w:ascii="Verdana" w:hAnsi="Verdana" w:cstheme="minorHAnsi"/>
          </w:rPr>
          <w:t>ePodatelnaCFU@spravazeleznic.cz</w:t>
        </w:r>
      </w:hyperlink>
      <w:r>
        <w:rPr>
          <w:rFonts w:ascii="Verdana" w:hAnsi="Verdana" w:cstheme="minorHAnsi"/>
        </w:rPr>
        <w:t xml:space="preserve">,  </w:t>
      </w:r>
    </w:p>
    <w:p w14:paraId="60467ECD" w14:textId="77777777" w:rsidR="00D74377" w:rsidRDefault="00D74377" w:rsidP="00D74377">
      <w:pPr>
        <w:pStyle w:val="Odstavecseseznamem"/>
        <w:tabs>
          <w:tab w:val="left" w:pos="1560"/>
        </w:tabs>
        <w:spacing w:after="120" w:line="276" w:lineRule="auto"/>
        <w:ind w:left="127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    nebo</w:t>
      </w:r>
    </w:p>
    <w:p w14:paraId="0B7B656D" w14:textId="77777777" w:rsidR="00D74377" w:rsidRDefault="00D74377" w:rsidP="00D74377">
      <w:pPr>
        <w:pStyle w:val="Odstavecseseznamem"/>
        <w:numPr>
          <w:ilvl w:val="0"/>
          <w:numId w:val="34"/>
        </w:numPr>
        <w:tabs>
          <w:tab w:val="left" w:pos="1560"/>
        </w:tabs>
        <w:spacing w:after="120" w:line="276" w:lineRule="auto"/>
        <w:ind w:firstLine="19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 digitální podobě do datové schránky s identifikátorem Uccchjm, nebo</w:t>
      </w:r>
    </w:p>
    <w:p w14:paraId="0E25CB61" w14:textId="77777777" w:rsidR="00D74377" w:rsidRDefault="00D74377" w:rsidP="00D74377">
      <w:pPr>
        <w:pStyle w:val="Odstavecseseznamem"/>
        <w:numPr>
          <w:ilvl w:val="0"/>
          <w:numId w:val="34"/>
        </w:numPr>
        <w:tabs>
          <w:tab w:val="left" w:pos="1560"/>
        </w:tabs>
        <w:spacing w:after="120" w:line="276" w:lineRule="auto"/>
        <w:ind w:left="1560" w:hanging="284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 listinné podobě na adresu Správa železnic, státní organizace, Centrální finanční účtárna Čechy, Náměstí Jana Pernera 217, 530 02 Pardubice. </w:t>
      </w:r>
    </w:p>
    <w:p w14:paraId="3FB2568D" w14:textId="4BA82F27" w:rsidR="00D74377" w:rsidRPr="00D74377" w:rsidRDefault="00D74377" w:rsidP="00D74377">
      <w:pPr>
        <w:pStyle w:val="Nadpis2"/>
        <w:spacing w:after="120"/>
        <w:ind w:left="578" w:hanging="578"/>
        <w:contextualSpacing w:val="0"/>
        <w:rPr>
          <w:rFonts w:ascii="Verdana" w:hAnsi="Verdana" w:cstheme="minorHAnsi"/>
        </w:rPr>
      </w:pPr>
      <w:r w:rsidRPr="00D74377">
        <w:rPr>
          <w:rFonts w:ascii="Verdana" w:hAnsi="Verdana" w:cstheme="minorHAnsi"/>
        </w:rPr>
        <w:t>Objednatel upřednostňuje příjem těchto daňových dokladů v digitální podobě ve formátu PDF/A, ISO 19005, min. verze PDF/A-2b, na výše uvedené emailové adrese.</w:t>
      </w:r>
    </w:p>
    <w:p w14:paraId="1AFBED57" w14:textId="77777777" w:rsidR="004E1498" w:rsidRPr="003A6C16" w:rsidRDefault="004E1498" w:rsidP="003A6C16">
      <w:pPr>
        <w:pStyle w:val="Nadpis1"/>
        <w:jc w:val="both"/>
        <w:rPr>
          <w:rFonts w:eastAsia="Times New Roman"/>
          <w:lang w:eastAsia="cs-CZ"/>
        </w:rPr>
      </w:pPr>
      <w:r w:rsidRPr="003A6C16">
        <w:rPr>
          <w:rFonts w:eastAsia="Times New Roman"/>
          <w:lang w:eastAsia="cs-CZ"/>
        </w:rPr>
        <w:t>Místo a doba plnění</w:t>
      </w:r>
    </w:p>
    <w:p w14:paraId="4DCCF507" w14:textId="0DBD086A" w:rsidR="004E1498" w:rsidRPr="00906A20" w:rsidRDefault="004E1498" w:rsidP="003A6C16">
      <w:pPr>
        <w:pStyle w:val="Nadpis2"/>
        <w:spacing w:after="120"/>
        <w:ind w:left="578" w:hanging="578"/>
        <w:contextualSpacing w:val="0"/>
      </w:pPr>
      <w:r w:rsidRPr="003A6C16">
        <w:t>Místem plnění j</w:t>
      </w:r>
      <w:r w:rsidR="003A6C16" w:rsidRPr="003A6C16">
        <w:t xml:space="preserve">sou: Rozvodny NN v rozsahu obvodových elektrodílen Hulín a Valašské </w:t>
      </w:r>
      <w:r w:rsidR="003A6C16" w:rsidRPr="00906A20">
        <w:t xml:space="preserve">Meziříčí a TNS Střelná </w:t>
      </w:r>
    </w:p>
    <w:p w14:paraId="773EB070" w14:textId="7CF28B5E" w:rsidR="00CB53B1" w:rsidRPr="00906A20" w:rsidRDefault="00CB53B1" w:rsidP="003A6C16">
      <w:pPr>
        <w:pStyle w:val="Nadpis2"/>
        <w:spacing w:after="120"/>
        <w:ind w:left="578" w:hanging="578"/>
        <w:contextualSpacing w:val="0"/>
      </w:pPr>
      <w:r w:rsidRPr="00906A20">
        <w:t xml:space="preserve">Smlouva se uzavírá na dobu určitou </w:t>
      </w:r>
      <w:r w:rsidRPr="00906A20">
        <w:rPr>
          <w:b/>
        </w:rPr>
        <w:t xml:space="preserve">do </w:t>
      </w:r>
      <w:r w:rsidR="003A6C16" w:rsidRPr="00906A20">
        <w:rPr>
          <w:b/>
        </w:rPr>
        <w:t>3</w:t>
      </w:r>
      <w:r w:rsidR="007D017C">
        <w:rPr>
          <w:b/>
        </w:rPr>
        <w:t>0</w:t>
      </w:r>
      <w:r w:rsidR="003A6C16" w:rsidRPr="00906A20">
        <w:rPr>
          <w:b/>
        </w:rPr>
        <w:t xml:space="preserve">. </w:t>
      </w:r>
      <w:r w:rsidR="00D74377">
        <w:rPr>
          <w:b/>
        </w:rPr>
        <w:t>6</w:t>
      </w:r>
      <w:r w:rsidR="003A6C16" w:rsidRPr="00906A20">
        <w:rPr>
          <w:b/>
        </w:rPr>
        <w:t>. 202</w:t>
      </w:r>
      <w:r w:rsidR="00D74377">
        <w:rPr>
          <w:b/>
        </w:rPr>
        <w:t>2</w:t>
      </w:r>
    </w:p>
    <w:p w14:paraId="757582CE" w14:textId="2C12653D" w:rsidR="004E1498" w:rsidRPr="00906A20" w:rsidRDefault="004E1498" w:rsidP="003A6C16">
      <w:pPr>
        <w:pStyle w:val="Nadpis2"/>
        <w:spacing w:after="120"/>
        <w:ind w:left="578" w:hanging="578"/>
        <w:contextualSpacing w:val="0"/>
      </w:pPr>
      <w:r w:rsidRPr="00906A20">
        <w:rPr>
          <w:b/>
        </w:rPr>
        <w:t>Zhotovitel je povinen zpracovat Harmonogram</w:t>
      </w:r>
      <w:r w:rsidRPr="00906A20">
        <w:t>, jenž bude obsahovat podrobnější čas</w:t>
      </w:r>
      <w:r w:rsidR="003A6C16" w:rsidRPr="00906A20">
        <w:t xml:space="preserve">ovou specifikaci provádění Díla. </w:t>
      </w:r>
      <w:r w:rsidR="003A6C16" w:rsidRPr="00906A20">
        <w:rPr>
          <w:highlight w:val="yellow"/>
        </w:rPr>
        <w:t>Harmonogram je přílohou č.</w:t>
      </w:r>
      <w:r w:rsidR="00906A20">
        <w:rPr>
          <w:highlight w:val="yellow"/>
        </w:rPr>
        <w:t xml:space="preserve"> </w:t>
      </w:r>
      <w:r w:rsidR="003A6C16" w:rsidRPr="00906A20">
        <w:rPr>
          <w:highlight w:val="yellow"/>
        </w:rPr>
        <w:t>3 této smlouvy</w:t>
      </w:r>
      <w:r w:rsidR="003A6C16" w:rsidRPr="00906A20">
        <w:t>.</w:t>
      </w:r>
      <w:r w:rsidRPr="00906A20">
        <w:t xml:space="preserve"> </w:t>
      </w:r>
    </w:p>
    <w:p w14:paraId="38280017" w14:textId="77777777" w:rsidR="004E1498" w:rsidRPr="003A6C16" w:rsidRDefault="004E1498" w:rsidP="003A6C16">
      <w:pPr>
        <w:pStyle w:val="Nadpis1"/>
        <w:jc w:val="both"/>
        <w:rPr>
          <w:rFonts w:eastAsia="Times New Roman"/>
          <w:lang w:eastAsia="cs-CZ"/>
        </w:rPr>
      </w:pPr>
      <w:r w:rsidRPr="00906A20">
        <w:rPr>
          <w:rFonts w:eastAsia="Times New Roman"/>
          <w:lang w:eastAsia="cs-CZ"/>
        </w:rPr>
        <w:t>Záruční</w:t>
      </w:r>
      <w:r w:rsidRPr="003A6C16">
        <w:rPr>
          <w:rFonts w:eastAsia="Times New Roman"/>
          <w:lang w:eastAsia="cs-CZ"/>
        </w:rPr>
        <w:t xml:space="preserve"> doba</w:t>
      </w:r>
    </w:p>
    <w:p w14:paraId="76B099DF" w14:textId="799028D2" w:rsidR="004E1498" w:rsidRPr="003A6C16" w:rsidRDefault="004E1498" w:rsidP="003A6C16">
      <w:pPr>
        <w:pStyle w:val="Nadpis2"/>
      </w:pPr>
      <w:r w:rsidRPr="003A6C16">
        <w:t xml:space="preserve">Záruční doba činí </w:t>
      </w:r>
      <w:r w:rsidRPr="00324E90">
        <w:rPr>
          <w:highlight w:val="yellow"/>
        </w:rPr>
        <w:t>………</w:t>
      </w:r>
      <w:r w:rsidR="00816B59" w:rsidRPr="003A6C16">
        <w:t xml:space="preserve"> (minimálně 24 měsíců)</w:t>
      </w:r>
      <w:r w:rsidRPr="003A6C16">
        <w:t>.</w:t>
      </w:r>
    </w:p>
    <w:p w14:paraId="700C0934" w14:textId="52529E28" w:rsidR="004E1498" w:rsidRPr="003A6C16" w:rsidRDefault="004E1498" w:rsidP="003A6C16">
      <w:pPr>
        <w:pStyle w:val="Nadpis1"/>
        <w:jc w:val="both"/>
        <w:rPr>
          <w:rFonts w:eastAsia="Times New Roman"/>
          <w:lang w:eastAsia="cs-CZ"/>
        </w:rPr>
      </w:pPr>
      <w:r w:rsidRPr="003A6C16">
        <w:rPr>
          <w:rFonts w:eastAsia="Times New Roman"/>
          <w:lang w:eastAsia="cs-CZ"/>
        </w:rPr>
        <w:t>Poddodavatelé</w:t>
      </w:r>
      <w:r w:rsidR="00FD17C6" w:rsidRPr="003A6C16">
        <w:rPr>
          <w:rFonts w:eastAsia="Times New Roman"/>
          <w:lang w:eastAsia="cs-CZ"/>
        </w:rPr>
        <w:t xml:space="preserve"> a realizační tým</w:t>
      </w:r>
    </w:p>
    <w:p w14:paraId="18CA0036" w14:textId="19A481D0" w:rsidR="004E1498" w:rsidRPr="003A6C16" w:rsidRDefault="004E1498" w:rsidP="003A6C16">
      <w:pPr>
        <w:pStyle w:val="Nadpis2"/>
      </w:pPr>
      <w:r w:rsidRPr="003A6C16">
        <w:t>Na pro</w:t>
      </w:r>
      <w:r w:rsidR="000D278B" w:rsidRPr="003A6C16">
        <w:t>vedení Díla se budou podílet pod</w:t>
      </w:r>
      <w:r w:rsidRPr="003A6C16">
        <w:t>dodavatelé uvedení v </w:t>
      </w:r>
      <w:r w:rsidRPr="00D74377">
        <w:rPr>
          <w:highlight w:val="yellow"/>
        </w:rPr>
        <w:t>příloze č</w:t>
      </w:r>
      <w:r w:rsidR="003A6C16" w:rsidRPr="00D74377">
        <w:rPr>
          <w:highlight w:val="yellow"/>
        </w:rPr>
        <w:t>. 4.</w:t>
      </w:r>
      <w:r w:rsidR="006566F7" w:rsidRPr="00D74377">
        <w:rPr>
          <w:highlight w:val="yellow"/>
        </w:rPr>
        <w:t xml:space="preserve"> této</w:t>
      </w:r>
      <w:r w:rsidR="006566F7" w:rsidRPr="003A6C16">
        <w:t xml:space="preserve"> S</w:t>
      </w:r>
      <w:r w:rsidRPr="003A6C16">
        <w:t xml:space="preserve">mlouvy. </w:t>
      </w:r>
    </w:p>
    <w:p w14:paraId="6E4032B4" w14:textId="2FE6076C" w:rsidR="007C01CD" w:rsidRPr="003A6C16" w:rsidRDefault="00A02EE7" w:rsidP="003A6C16">
      <w:pPr>
        <w:spacing w:after="120" w:line="240" w:lineRule="auto"/>
        <w:ind w:left="567"/>
        <w:jc w:val="both"/>
        <w:rPr>
          <w:rFonts w:eastAsia="Times New Roman" w:cs="Times New Roman"/>
          <w:lang w:eastAsia="cs-CZ"/>
        </w:rPr>
      </w:pPr>
      <w:r w:rsidRPr="00324E90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78D59FBF" w:rsidR="00FD17C6" w:rsidRPr="003A6C16" w:rsidRDefault="00FD17C6" w:rsidP="003A6C16">
      <w:pPr>
        <w:pStyle w:val="Nadpis2"/>
        <w:spacing w:after="120"/>
        <w:ind w:left="578" w:hanging="578"/>
        <w:contextualSpacing w:val="0"/>
      </w:pPr>
      <w:r w:rsidRPr="003A6C16">
        <w:t>Na provedení Díla se budou podílet č</w:t>
      </w:r>
      <w:r w:rsidR="00816B59" w:rsidRPr="003A6C16">
        <w:t>lenové realizačního týmu uvedení</w:t>
      </w:r>
      <w:r w:rsidR="006566F7" w:rsidRPr="003A6C16">
        <w:t xml:space="preserve"> v příloze č</w:t>
      </w:r>
      <w:r w:rsidR="003A6C16" w:rsidRPr="003A6C16">
        <w:t xml:space="preserve">. 5 </w:t>
      </w:r>
      <w:r w:rsidR="006566F7" w:rsidRPr="003A6C16">
        <w:t>této S</w:t>
      </w:r>
      <w:r w:rsidRPr="003A6C16">
        <w:t>mlouvy.</w:t>
      </w:r>
    </w:p>
    <w:p w14:paraId="5BBC90E2" w14:textId="3E6A9FE7" w:rsidR="00FD17C6" w:rsidRPr="00452103" w:rsidRDefault="00FD17C6" w:rsidP="003A6C16">
      <w:pPr>
        <w:pStyle w:val="Nadpis2"/>
      </w:pPr>
      <w:r w:rsidRPr="00452103">
        <w:t>Zhotovitel může v průběhu plnění Předmětu díla nahradit některé osoby z osob, uvedených v seznamu realizačního týmu dle přílohy č</w:t>
      </w:r>
      <w:r w:rsidR="003A6C16" w:rsidRPr="00452103">
        <w:t>. 5</w:t>
      </w:r>
      <w:r w:rsidRPr="00452103">
        <w:t xml:space="preserve"> této </w:t>
      </w:r>
      <w:r w:rsidR="00A605AE" w:rsidRPr="00452103">
        <w:t>S</w:t>
      </w:r>
      <w:r w:rsidRPr="00452103">
        <w:t>mlouvy, pouze po předchozím souhlasu Objednatele na základě písemné žádosti Zhotovitele. V případě, že Zhotovitel požádá o změnu některých členů realizačního týmu uvedeného v příloze č</w:t>
      </w:r>
      <w:r w:rsidR="003A6C16" w:rsidRPr="00452103">
        <w:t>. 5</w:t>
      </w:r>
      <w:r w:rsidRPr="00452103">
        <w:t xml:space="preserve"> této Smlouvy, musí tato osoba, splňovat kvalifikaci požadovanou v zadávacím řízení. </w:t>
      </w:r>
    </w:p>
    <w:p w14:paraId="07E9C885" w14:textId="5AAFCA7B" w:rsidR="00D657AD" w:rsidRPr="00452103" w:rsidRDefault="00452103" w:rsidP="00592757">
      <w:pPr>
        <w:pStyle w:val="Nadpis1"/>
        <w:rPr>
          <w:rFonts w:eastAsia="Times New Roman"/>
          <w:lang w:eastAsia="cs-CZ"/>
        </w:rPr>
      </w:pPr>
      <w:r w:rsidRPr="00452103">
        <w:rPr>
          <w:rFonts w:eastAsia="Times New Roman"/>
          <w:lang w:eastAsia="cs-CZ"/>
        </w:rPr>
        <w:t>Odpovědné zadávání</w:t>
      </w:r>
    </w:p>
    <w:p w14:paraId="7D720A79" w14:textId="08E3DFCE" w:rsidR="00D74377" w:rsidRDefault="00D74377" w:rsidP="00D74377">
      <w:pPr>
        <w:pStyle w:val="Nadpis2"/>
        <w:spacing w:after="120"/>
        <w:ind w:left="578" w:hanging="578"/>
        <w:contextualSpacing w:val="0"/>
      </w:pPr>
      <w:r>
        <w:t xml:space="preserve">Objednatel je povinen při vytváření zadávacích podmínek, včetně pravidel pro hodnocení nabídek, a výběru dodavatele, veřejné zakázky, na základě které byla uzavřena tato smlouva dodržovat zásady sociálně odpovědného zadávání, environmentálně odpovědného zadávání a inovací jak jsou definovány v § 28 odst. 1 písm. p) až r) ZZVZ </w:t>
      </w:r>
      <w:r>
        <w:lastRenderedPageBreak/>
        <w:t xml:space="preserve">(dále jen „odpovědné zadávání“). </w:t>
      </w:r>
      <w:r>
        <w:t>Zhotovitel</w:t>
      </w:r>
      <w:r>
        <w:t xml:space="preserve"> bere podpisem této smlouvy výslovně na vědomí tuto povinnost objednatele, jakož i veškeré s tím související požadavky na </w:t>
      </w:r>
      <w:r>
        <w:t>zhotovitele</w:t>
      </w:r>
      <w:r>
        <w:t xml:space="preserve"> v daném ohledu kladené, které jsou jako jednotlivé prvky odpovědného zadávání uvedeny v následujících ustanovení tohoto článku smlouvy.</w:t>
      </w:r>
    </w:p>
    <w:p w14:paraId="1B08B686" w14:textId="1EF508BB" w:rsidR="00D74377" w:rsidRDefault="00D74377" w:rsidP="00D74377">
      <w:pPr>
        <w:pStyle w:val="Nadpis2"/>
        <w:spacing w:after="120"/>
        <w:ind w:left="578" w:hanging="578"/>
        <w:contextualSpacing w:val="0"/>
      </w:pPr>
      <w:r>
        <w:t xml:space="preserve">Objednatel požaduje, aby </w:t>
      </w:r>
      <w:r>
        <w:t>Zhotovi</w:t>
      </w:r>
      <w:r>
        <w:t xml:space="preserve">tel při realizaci Díla pro Objednatele zajistil rovnocenné platební podmínky, jako má sjednány </w:t>
      </w:r>
      <w:r>
        <w:t>Zhotovi</w:t>
      </w:r>
      <w:r>
        <w:t>tel s Objednatelem, a to následovně:</w:t>
      </w:r>
    </w:p>
    <w:p w14:paraId="384F022E" w14:textId="756AA307" w:rsidR="00D74377" w:rsidRDefault="00D74377" w:rsidP="00D74377">
      <w:pPr>
        <w:pStyle w:val="Nadpis3"/>
        <w:spacing w:after="120"/>
        <w:contextualSpacing w:val="0"/>
      </w:pPr>
      <w:r>
        <w:t>Zhotovi</w:t>
      </w:r>
      <w:r>
        <w:t xml:space="preserve">tel se zavazuje ujednat si s dalšími osobami, které se na jeho straně podílejí na realizaci Díla, a jsou podnikateli (dále jen „smluvní partneři </w:t>
      </w:r>
      <w:r>
        <w:t>Zhotovi</w:t>
      </w:r>
      <w:r>
        <w:t xml:space="preserve">tele“), stejnou nebo kratší dobu splatnosti daňových dokladů, jaká je sjednána v této smlouvě. </w:t>
      </w:r>
      <w:r>
        <w:t>Zhotovi</w:t>
      </w:r>
      <w:r>
        <w:t xml:space="preserve">tel se zavazuje na písemnou výzvu předložit Objednateli do tří pracovních dnů od doručení výzvy smluvní dokumentaci (včetně jejich případných změn) se smluvními partnery </w:t>
      </w:r>
      <w:r>
        <w:t>Zhotovi</w:t>
      </w:r>
      <w:r>
        <w:t xml:space="preserve">tele uvedenými ve výzvě Objednatele, ze kterých bude vyplývat splnění povinnosti </w:t>
      </w:r>
      <w:r>
        <w:t>Zhotovi</w:t>
      </w:r>
      <w:r>
        <w:t xml:space="preserve">tele dle předchozí věty. Předkládaná smluvní dokumentace bude anonymizována tak, aby neobsahovala osobní údaje či obchodní tajemství dodavatele či smluvních partnerů </w:t>
      </w:r>
      <w:r>
        <w:t>Zhotovi</w:t>
      </w:r>
      <w:r>
        <w:t xml:space="preserve">tele; musí z ní však vždy být zřejmé splnění povinnosti </w:t>
      </w:r>
      <w:r>
        <w:t>Zhotovi</w:t>
      </w:r>
      <w:r>
        <w:t>tele dle tohoto odstavce smlouvy.</w:t>
      </w:r>
    </w:p>
    <w:p w14:paraId="4A136DD6" w14:textId="3BDC0D04" w:rsidR="00D74377" w:rsidRDefault="00D74377" w:rsidP="00D74377">
      <w:pPr>
        <w:pStyle w:val="Nadpis3"/>
        <w:spacing w:after="120"/>
        <w:contextualSpacing w:val="0"/>
      </w:pPr>
      <w:r>
        <w:t>Zhotovi</w:t>
      </w:r>
      <w:r>
        <w:t xml:space="preserve">tel se zavazuje uhradit smluvní pokutu ve výši 10.000 Kč za každý byť i započatý den prodlení se splněním povinnosti předložit smluvní dokumentaci dle předchozího odstavce smlouvy. </w:t>
      </w:r>
      <w:r w:rsidR="00A334B0">
        <w:t>Zhotovi</w:t>
      </w:r>
      <w:r>
        <w:t xml:space="preserve">tel se dále zavazuje uhradit smluvní pokutu ve výši 10.000 Kč za každý byť i započatý den, po který porušil svou povinnost mít se smluvními partnery </w:t>
      </w:r>
      <w:r w:rsidR="00A334B0">
        <w:t>Zhotovi</w:t>
      </w:r>
      <w:r>
        <w:t xml:space="preserve">tele stejnou nebo kratší dobu splatnosti daňových dokladů, jaká je sjednána v této smlouvě. Smluvní sankce dle tohoto odstavce smlouvy lze v případě postupného porušení obou povinností </w:t>
      </w:r>
      <w:r w:rsidR="00A334B0">
        <w:t>Zhotovi</w:t>
      </w:r>
      <w:r>
        <w:t>tele sčítat.</w:t>
      </w:r>
    </w:p>
    <w:p w14:paraId="66697D63" w14:textId="77777777" w:rsidR="00D74377" w:rsidRDefault="00D74377" w:rsidP="00D74377">
      <w:pPr>
        <w:pStyle w:val="Nadpis2"/>
        <w:spacing w:after="120"/>
        <w:ind w:left="578" w:hanging="578"/>
        <w:contextualSpacing w:val="0"/>
        <w:rPr>
          <w:bCs/>
        </w:rPr>
      </w:pPr>
      <w:r>
        <w:rPr>
          <w:bCs/>
        </w:rPr>
        <w:t>Objednatel požaduje dodržování zákonného standardu pracovních podmínek dle zákoníku práce, pracovních předpisů v oblasti zaměstnanosti a BOZP, a to následovně:</w:t>
      </w:r>
    </w:p>
    <w:p w14:paraId="77FC2637" w14:textId="7A710731" w:rsidR="00D74377" w:rsidRDefault="00A334B0" w:rsidP="00D74377">
      <w:pPr>
        <w:numPr>
          <w:ilvl w:val="2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hanging="578"/>
        <w:jc w:val="both"/>
        <w:textAlignment w:val="baseline"/>
        <w:rPr>
          <w:bCs/>
        </w:rPr>
      </w:pPr>
      <w:r>
        <w:rPr>
          <w:bCs/>
        </w:rPr>
        <w:t>Zhotovi</w:t>
      </w:r>
      <w:r w:rsidR="00D74377">
        <w:rPr>
          <w:bCs/>
        </w:rPr>
        <w:t xml:space="preserve">tel se zavazuje, že při plnění této smlouvy budou zaručeny zákonné standardy pro pracovní podmínky zaměstnanců spočívající v povinnosti </w:t>
      </w:r>
      <w:r>
        <w:rPr>
          <w:bCs/>
        </w:rPr>
        <w:t>Zhotovi</w:t>
      </w:r>
      <w:r w:rsidR="00D74377">
        <w:rPr>
          <w:bCs/>
        </w:rPr>
        <w:t xml:space="preserve">tele dodržovat pracovněprávní předpisy (odměňování vč. Minimální mzdy či nejnižší úrovně zaručené mzdy dle nařízení vlády č. 567/20006 Sb., pracovní doba, doba odpočinku mezi směnami, placené přesčasy), dále předpisy týkající se oblasti zaměstnanosti a bezpečnosti a ochrany zdraví při práci, tj. zejména zákona č. 435/2004 Sb. o zaměstnanosti, ve znění pozdějších předpisů, a zákona č. 262/2006 Sb., zákoník práce, ve znění pozdějších předpisů, a to vůči všem osobám, které se na plnění předmětu této smlouvy podílejí. </w:t>
      </w:r>
      <w:r>
        <w:rPr>
          <w:bCs/>
        </w:rPr>
        <w:t>Zhotovi</w:t>
      </w:r>
      <w:r w:rsidR="00D74377">
        <w:rPr>
          <w:bCs/>
        </w:rPr>
        <w:t xml:space="preserve">tel je také povinen zajistit, že všechny osoby, které se na plnění této smlouvy budou podílet, jsou vedeny v příslušných registrech, jako například v registru pojištěnců ČZZS, a mají příslušná povolení k pobytu v ČR. </w:t>
      </w:r>
      <w:r>
        <w:rPr>
          <w:bCs/>
        </w:rPr>
        <w:t>Zhotovi</w:t>
      </w:r>
      <w:r w:rsidR="00D74377">
        <w:rPr>
          <w:bCs/>
        </w:rPr>
        <w:t xml:space="preserve">tel se zavazuje na písemnou výzvu předložit Objednateli do tří pracovních dnů od doručení výzvy požadované informace, ze kterých bude vyplývat splnění povinnosti </w:t>
      </w:r>
      <w:r>
        <w:rPr>
          <w:bCs/>
        </w:rPr>
        <w:t>Zhotovi</w:t>
      </w:r>
      <w:r w:rsidR="00D74377">
        <w:rPr>
          <w:bCs/>
        </w:rPr>
        <w:t xml:space="preserve">tele dle předchozí věty. Předkládané dokumentace budou anonymizovány tak, aby neobsahovaly osobní údaje či obchodní tajemství </w:t>
      </w:r>
      <w:r>
        <w:rPr>
          <w:bCs/>
        </w:rPr>
        <w:t>Zhotovi</w:t>
      </w:r>
      <w:r w:rsidR="00D74377">
        <w:rPr>
          <w:bCs/>
        </w:rPr>
        <w:t xml:space="preserve">tele; musí z nich však vždy být zřejmé splnění povinností </w:t>
      </w:r>
      <w:r>
        <w:rPr>
          <w:bCs/>
        </w:rPr>
        <w:t>Zhotovi</w:t>
      </w:r>
      <w:r w:rsidR="00D74377">
        <w:rPr>
          <w:bCs/>
        </w:rPr>
        <w:t>tele dle tohoto odstavce smlouvy.</w:t>
      </w:r>
    </w:p>
    <w:p w14:paraId="1F52F15C" w14:textId="36723E5A" w:rsidR="00D74377" w:rsidRDefault="00A334B0" w:rsidP="00D74377">
      <w:pPr>
        <w:numPr>
          <w:ilvl w:val="2"/>
          <w:numId w:val="36"/>
        </w:numPr>
        <w:overflowPunct w:val="0"/>
        <w:autoSpaceDE w:val="0"/>
        <w:autoSpaceDN w:val="0"/>
        <w:adjustRightInd w:val="0"/>
        <w:spacing w:line="240" w:lineRule="auto"/>
        <w:ind w:hanging="578"/>
        <w:jc w:val="both"/>
        <w:textAlignment w:val="baseline"/>
        <w:rPr>
          <w:bCs/>
        </w:rPr>
      </w:pPr>
      <w:r>
        <w:rPr>
          <w:bCs/>
        </w:rPr>
        <w:t>Zhotovi</w:t>
      </w:r>
      <w:r w:rsidR="00D74377">
        <w:rPr>
          <w:bCs/>
        </w:rPr>
        <w:t xml:space="preserve">tel se zavazuje uhradit smluvní pokutu ve výši 10.000 Kč za každý byť i započatý den prodlení se splněním povinnosti předložit dokumentaci dle předchozího odstavce smlouvy. </w:t>
      </w:r>
      <w:r>
        <w:rPr>
          <w:bCs/>
        </w:rPr>
        <w:t>Zhotovi</w:t>
      </w:r>
      <w:r w:rsidR="00D74377">
        <w:rPr>
          <w:bCs/>
        </w:rPr>
        <w:t xml:space="preserve">tel se dále zavazuje uhradit smluvní pokutu ve výši 10.000 Kč za každý byť i započatý den, po který porušil svou povinnost dodržovat zákonné standardy pracovních podmínek dle zákoníku práce, pracovní předpisy v oblasti zaměstnanosti a BOZP. Smluvní sankce dle tohoto odstavce smlouvy lze v případě postupného porušení obou povinností </w:t>
      </w:r>
      <w:r>
        <w:rPr>
          <w:bCs/>
        </w:rPr>
        <w:t>Zhotovi</w:t>
      </w:r>
      <w:r w:rsidR="00D74377">
        <w:rPr>
          <w:bCs/>
        </w:rPr>
        <w:t>tele sčítat.</w:t>
      </w:r>
    </w:p>
    <w:p w14:paraId="4065398C" w14:textId="1B09B716" w:rsidR="00D74377" w:rsidRDefault="00D74377" w:rsidP="00D74377">
      <w:pPr>
        <w:overflowPunct w:val="0"/>
        <w:autoSpaceDE w:val="0"/>
        <w:autoSpaceDN w:val="0"/>
        <w:adjustRightInd w:val="0"/>
        <w:spacing w:line="240" w:lineRule="auto"/>
        <w:ind w:left="720"/>
        <w:jc w:val="both"/>
        <w:textAlignment w:val="baseline"/>
        <w:rPr>
          <w:bCs/>
        </w:rPr>
      </w:pPr>
    </w:p>
    <w:p w14:paraId="5EC18B07" w14:textId="77777777" w:rsidR="00A334B0" w:rsidRDefault="00A334B0" w:rsidP="00D74377">
      <w:pPr>
        <w:overflowPunct w:val="0"/>
        <w:autoSpaceDE w:val="0"/>
        <w:autoSpaceDN w:val="0"/>
        <w:adjustRightInd w:val="0"/>
        <w:spacing w:line="240" w:lineRule="auto"/>
        <w:ind w:left="720"/>
        <w:jc w:val="both"/>
        <w:textAlignment w:val="baseline"/>
        <w:rPr>
          <w:bCs/>
        </w:rPr>
      </w:pPr>
    </w:p>
    <w:p w14:paraId="21F816C5" w14:textId="77777777" w:rsidR="004E1498" w:rsidRPr="00324E90" w:rsidRDefault="004E1498" w:rsidP="007C01CD">
      <w:pPr>
        <w:pStyle w:val="Nadpis1"/>
        <w:rPr>
          <w:rFonts w:asciiTheme="minorHAnsi" w:eastAsia="Times New Roman" w:hAnsiTheme="minorHAnsi"/>
          <w:lang w:eastAsia="cs-CZ"/>
        </w:rPr>
      </w:pPr>
      <w:r w:rsidRPr="00324E90">
        <w:rPr>
          <w:rFonts w:asciiTheme="minorHAnsi" w:eastAsia="Times New Roman" w:hAnsiTheme="minorHAnsi"/>
          <w:lang w:eastAsia="cs-CZ"/>
        </w:rPr>
        <w:t>Další ujednání</w:t>
      </w:r>
    </w:p>
    <w:p w14:paraId="458E4AF9" w14:textId="77777777" w:rsidR="004E1498" w:rsidRPr="00906A20" w:rsidRDefault="004E1498" w:rsidP="00324E90">
      <w:pPr>
        <w:pStyle w:val="Nadpis2"/>
        <w:spacing w:after="120"/>
        <w:contextualSpacing w:val="0"/>
      </w:pPr>
      <w:r w:rsidRPr="00324E90">
        <w:lastRenderedPageBreak/>
        <w:t xml:space="preserve">Zhotovitel prohlašuje, že je způsobilý k řádnému a včasnému provedení Díla a že disponuje takovými kapacitami a odbornými znalostmi, které jsou třeba k řádnému </w:t>
      </w:r>
      <w:r w:rsidRPr="00906A20">
        <w:t>provedení Díla.</w:t>
      </w:r>
    </w:p>
    <w:p w14:paraId="7EDF1044" w14:textId="77777777" w:rsidR="004E1498" w:rsidRPr="00906A20" w:rsidRDefault="004E1498" w:rsidP="00324E90">
      <w:pPr>
        <w:pStyle w:val="Nadpis2"/>
        <w:spacing w:after="120"/>
        <w:contextualSpacing w:val="0"/>
      </w:pPr>
      <w:r w:rsidRPr="00906A20">
        <w:t>Kontaktními osobami smluvních stran jsou</w:t>
      </w:r>
    </w:p>
    <w:p w14:paraId="4E7FEA6D" w14:textId="06006D3E" w:rsidR="004E1498" w:rsidRPr="009E4BEC" w:rsidRDefault="004E1498" w:rsidP="00A334B0">
      <w:pPr>
        <w:pStyle w:val="Nadpis3"/>
        <w:spacing w:after="120"/>
        <w:contextualSpacing w:val="0"/>
        <w:jc w:val="left"/>
        <w:rPr>
          <w:rFonts w:cs="Arial"/>
        </w:rPr>
      </w:pPr>
      <w:r w:rsidRPr="00906A20">
        <w:t>za Objednatele</w:t>
      </w:r>
      <w:r w:rsidR="00324E90" w:rsidRPr="00906A20">
        <w:t>:</w:t>
      </w:r>
      <w:r w:rsidR="00A334B0">
        <w:t xml:space="preserve"> p. Jiří Němec, mob.: 724 028 342, </w:t>
      </w:r>
      <w:r w:rsidR="00A334B0">
        <w:br/>
        <w:t xml:space="preserve">                        e-mail: </w:t>
      </w:r>
      <w:hyperlink r:id="rId12" w:history="1">
        <w:r w:rsidR="00A334B0" w:rsidRPr="002C28DC">
          <w:rPr>
            <w:rStyle w:val="Hypertextovodkaz"/>
          </w:rPr>
          <w:t>NemecJi@spravazeleznic.cz</w:t>
        </w:r>
      </w:hyperlink>
      <w:r w:rsidR="00A334B0">
        <w:t xml:space="preserve">  </w:t>
      </w:r>
    </w:p>
    <w:p w14:paraId="1C513CD4" w14:textId="0967783B" w:rsidR="004E1498" w:rsidRPr="00324E90" w:rsidRDefault="004E1498" w:rsidP="00324E90">
      <w:pPr>
        <w:pStyle w:val="Nadpis3"/>
        <w:spacing w:after="120"/>
        <w:contextualSpacing w:val="0"/>
        <w:rPr>
          <w:highlight w:val="yellow"/>
        </w:rPr>
      </w:pPr>
      <w:r w:rsidRPr="00324E90">
        <w:rPr>
          <w:highlight w:val="yellow"/>
        </w:rPr>
        <w:t>za Zhotovitele p. ………………</w:t>
      </w:r>
      <w:r w:rsidR="0086114C" w:rsidRPr="00324E90">
        <w:rPr>
          <w:highlight w:val="yellow"/>
        </w:rPr>
        <w:t>……,</w:t>
      </w:r>
      <w:r w:rsidRPr="00324E90">
        <w:rPr>
          <w:highlight w:val="yellow"/>
        </w:rPr>
        <w:t xml:space="preserve"> </w:t>
      </w:r>
      <w:r w:rsidR="009E4BEC">
        <w:rPr>
          <w:highlight w:val="yellow"/>
        </w:rPr>
        <w:t>mob</w:t>
      </w:r>
      <w:r w:rsidRPr="00324E90">
        <w:rPr>
          <w:highlight w:val="yellow"/>
        </w:rPr>
        <w:t>.</w:t>
      </w:r>
      <w:r w:rsidR="009E4BEC">
        <w:rPr>
          <w:highlight w:val="yellow"/>
        </w:rPr>
        <w:t>:</w:t>
      </w:r>
      <w:r w:rsidRPr="00324E90">
        <w:rPr>
          <w:highlight w:val="yellow"/>
        </w:rPr>
        <w:t xml:space="preserve"> ……………</w:t>
      </w:r>
      <w:r w:rsidR="0086114C" w:rsidRPr="00324E90">
        <w:rPr>
          <w:highlight w:val="yellow"/>
        </w:rPr>
        <w:t>……,</w:t>
      </w:r>
      <w:r w:rsidRPr="00324E90">
        <w:rPr>
          <w:highlight w:val="yellow"/>
        </w:rPr>
        <w:t xml:space="preserve"> e</w:t>
      </w:r>
      <w:r w:rsidR="009E4BEC">
        <w:rPr>
          <w:highlight w:val="yellow"/>
        </w:rPr>
        <w:t>-</w:t>
      </w:r>
      <w:r w:rsidRPr="00324E90">
        <w:rPr>
          <w:highlight w:val="yellow"/>
        </w:rPr>
        <w:t>mail</w:t>
      </w:r>
      <w:r w:rsidR="009E4BEC">
        <w:rPr>
          <w:highlight w:val="yellow"/>
        </w:rPr>
        <w:t>:</w:t>
      </w:r>
      <w:r w:rsidRPr="00324E90">
        <w:rPr>
          <w:highlight w:val="yellow"/>
        </w:rPr>
        <w:t xml:space="preserve"> ………………</w:t>
      </w:r>
      <w:r w:rsidR="0086114C" w:rsidRPr="00324E90">
        <w:rPr>
          <w:highlight w:val="yellow"/>
        </w:rPr>
        <w:t>…….</w:t>
      </w:r>
    </w:p>
    <w:p w14:paraId="739753B3" w14:textId="34ECEF7A" w:rsidR="004E1498" w:rsidRPr="00324E90" w:rsidRDefault="004E1498" w:rsidP="00324E90">
      <w:pPr>
        <w:pStyle w:val="Nadpis2"/>
        <w:spacing w:after="120"/>
        <w:contextualSpacing w:val="0"/>
      </w:pPr>
      <w:r w:rsidRPr="00324E90">
        <w:rPr>
          <w:rFonts w:eastAsia="Calibri"/>
        </w:rPr>
        <w:t>Smluvní s</w:t>
      </w:r>
      <w:r w:rsidR="00D9782E" w:rsidRPr="00324E90">
        <w:rPr>
          <w:rFonts w:eastAsia="Calibri"/>
        </w:rPr>
        <w:t>trany berou na vědomí, že tato S</w:t>
      </w:r>
      <w:r w:rsidRPr="00324E90">
        <w:rPr>
          <w:rFonts w:eastAsia="Calibri"/>
        </w:rPr>
        <w:t>mlouva podléhá uveřejnění v registru smluv podle zákona č. 340/2015 Sb., o zvláštních podmínkách účinnosti ně</w:t>
      </w:r>
      <w:r w:rsidR="00D9782E" w:rsidRPr="00324E90">
        <w:rPr>
          <w:rFonts w:eastAsia="Calibri"/>
        </w:rPr>
        <w:t>kterých s</w:t>
      </w:r>
      <w:r w:rsidRPr="00324E90">
        <w:rPr>
          <w:rFonts w:eastAsia="Calibri"/>
        </w:rPr>
        <w:t xml:space="preserve">mluv, uveřejňování těchto smluv a o registru smluv, ve znění pozdějších předpisů (dále jen „ZRS“), a současně souhlasí se zveřejněním údajů o identifikaci </w:t>
      </w:r>
      <w:r w:rsidR="003B5DD6" w:rsidRPr="00324E90">
        <w:rPr>
          <w:rFonts w:eastAsia="Calibri"/>
        </w:rPr>
        <w:t>Sml</w:t>
      </w:r>
      <w:r w:rsidRPr="00324E90">
        <w:rPr>
          <w:rFonts w:eastAsia="Calibri"/>
        </w:rPr>
        <w:t xml:space="preserve">uvních stran, předmětu </w:t>
      </w:r>
      <w:r w:rsidR="003B5DD6" w:rsidRPr="00324E90">
        <w:rPr>
          <w:rFonts w:eastAsia="Calibri"/>
        </w:rPr>
        <w:t>Sml</w:t>
      </w:r>
      <w:r w:rsidRPr="00324E90">
        <w:rPr>
          <w:rFonts w:eastAsia="Calibri"/>
        </w:rPr>
        <w:t>ouvy, jeho ceně č</w:t>
      </w:r>
      <w:r w:rsidR="00D9782E" w:rsidRPr="00324E90">
        <w:rPr>
          <w:rFonts w:eastAsia="Calibri"/>
        </w:rPr>
        <w:t>i hodnotě a datu uzavření této S</w:t>
      </w:r>
      <w:r w:rsidRPr="00324E90">
        <w:rPr>
          <w:rFonts w:eastAsia="Calibri"/>
        </w:rPr>
        <w:t>mlouvy.</w:t>
      </w:r>
    </w:p>
    <w:p w14:paraId="0F72ED32" w14:textId="4B15EB72" w:rsidR="004E1498" w:rsidRPr="00D9782E" w:rsidRDefault="004E1498" w:rsidP="00324E90">
      <w:pPr>
        <w:pStyle w:val="Nadpis2"/>
        <w:spacing w:after="120"/>
        <w:contextualSpacing w:val="0"/>
      </w:pPr>
      <w:r w:rsidRPr="00324E90">
        <w:rPr>
          <w:rStyle w:val="Nadpis2Char"/>
          <w:rFonts w:eastAsia="Calibri"/>
        </w:rPr>
        <w:t xml:space="preserve">Zaslání </w:t>
      </w:r>
      <w:r w:rsidR="00D9782E" w:rsidRPr="00324E90">
        <w:rPr>
          <w:rFonts w:eastAsia="Calibri"/>
        </w:rPr>
        <w:t>S</w:t>
      </w:r>
      <w:r w:rsidRPr="00324E90">
        <w:rPr>
          <w:rFonts w:eastAsia="Calibri"/>
        </w:rPr>
        <w:t>mlouvy správci registru smluv k uveřejnění v registru smluv zajišťuje obvy</w:t>
      </w:r>
      <w:r w:rsidR="00D9782E" w:rsidRPr="00324E90">
        <w:rPr>
          <w:rFonts w:eastAsia="Calibri"/>
        </w:rPr>
        <w:t>kle Objednatel. Nebude-li tato S</w:t>
      </w:r>
      <w:r w:rsidRPr="00324E90">
        <w:rPr>
          <w:rFonts w:eastAsia="Calibri"/>
        </w:rPr>
        <w:t>mlouva</w:t>
      </w:r>
      <w:r w:rsidRPr="00D9782E">
        <w:rPr>
          <w:rFonts w:eastAsia="Calibri"/>
        </w:rPr>
        <w:t xml:space="preserve">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324E90">
      <w:pPr>
        <w:pStyle w:val="Nadpis2"/>
        <w:spacing w:after="120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324E90">
      <w:pPr>
        <w:pStyle w:val="Nadpis2"/>
        <w:spacing w:after="120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324E90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324E90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A334B0">
      <w:pPr>
        <w:pStyle w:val="Nadpis2"/>
        <w:spacing w:after="120"/>
        <w:contextualSpacing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A334B0">
      <w:pPr>
        <w:pStyle w:val="Nadpis2"/>
        <w:spacing w:after="120"/>
        <w:contextualSpacing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A334B0">
      <w:pPr>
        <w:pStyle w:val="Nadpis3"/>
        <w:spacing w:after="120"/>
        <w:contextualSpacing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A334B0">
      <w:pPr>
        <w:pStyle w:val="Nadpis3"/>
        <w:spacing w:after="120"/>
        <w:contextualSpacing w:val="0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5C41904B" w:rsidR="006E6E61" w:rsidRPr="009C30C5" w:rsidRDefault="00324E90" w:rsidP="00A334B0">
      <w:pPr>
        <w:pStyle w:val="Nadpis2"/>
        <w:spacing w:after="120"/>
        <w:contextualSpacing w:val="0"/>
      </w:pPr>
      <w: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</w:t>
      </w:r>
      <w:r w:rsidR="006E6E61" w:rsidRPr="009C30C5">
        <w:t>.</w:t>
      </w:r>
    </w:p>
    <w:p w14:paraId="6AB23CD3" w14:textId="6EF7FE9C" w:rsidR="004E1498" w:rsidRPr="004E1498" w:rsidRDefault="004E1498" w:rsidP="00A334B0">
      <w:pPr>
        <w:pStyle w:val="Nadpis2"/>
        <w:spacing w:after="120"/>
        <w:ind w:left="567" w:hanging="567"/>
        <w:contextualSpacing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A334B0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A334B0">
      <w:pPr>
        <w:pStyle w:val="Nadpis2"/>
        <w:spacing w:after="120"/>
        <w:ind w:left="567" w:hanging="567"/>
        <w:contextualSpacing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A334B0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A334B0">
      <w:pPr>
        <w:pStyle w:val="Nadpis2"/>
        <w:spacing w:after="120"/>
        <w:ind w:left="567" w:hanging="567"/>
        <w:contextualSpacing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A334B0">
      <w:pPr>
        <w:pStyle w:val="Nadpis2"/>
        <w:spacing w:after="120"/>
        <w:ind w:left="567" w:hanging="567"/>
        <w:contextualSpacing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1A0F87" w:rsidRDefault="004E1498" w:rsidP="00A334B0">
      <w:pPr>
        <w:pStyle w:val="Nadpis2"/>
        <w:spacing w:after="120"/>
        <w:ind w:left="567" w:hanging="567"/>
        <w:contextualSpacing w:val="0"/>
      </w:pPr>
      <w:r w:rsidRPr="001A0F87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1A0F87" w:rsidRDefault="004E1498" w:rsidP="00A334B0">
      <w:pPr>
        <w:pStyle w:val="Nadpis2"/>
        <w:spacing w:after="120"/>
        <w:ind w:left="567" w:hanging="567"/>
        <w:contextualSpacing w:val="0"/>
      </w:pPr>
      <w:r w:rsidRPr="001A0F87">
        <w:rPr>
          <w:rFonts w:eastAsia="Calibri"/>
        </w:rPr>
        <w:t xml:space="preserve">Tato </w:t>
      </w:r>
      <w:r w:rsidR="00D9782E" w:rsidRPr="001A0F87">
        <w:rPr>
          <w:rFonts w:eastAsia="Calibri"/>
        </w:rPr>
        <w:t>Sml</w:t>
      </w:r>
      <w:r w:rsidRPr="001A0F87">
        <w:rPr>
          <w:rFonts w:eastAsia="Calibri"/>
        </w:rPr>
        <w:t xml:space="preserve">ouva nabývá platnosti okamžikem podpisu poslední ze </w:t>
      </w:r>
      <w:r w:rsidR="00D9782E" w:rsidRPr="001A0F87">
        <w:rPr>
          <w:rFonts w:eastAsia="Calibri"/>
        </w:rPr>
        <w:t>Sml</w:t>
      </w:r>
      <w:r w:rsidRPr="001A0F87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4340F0D0" w:rsidR="006E6E61" w:rsidRPr="00906A20" w:rsidRDefault="00906A20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6A20">
        <w:rPr>
          <w:rFonts w:eastAsia="Times New Roman" w:cs="Times New Roman"/>
          <w:lang w:eastAsia="cs-CZ"/>
        </w:rPr>
        <w:t>Bližší specifikace</w:t>
      </w:r>
    </w:p>
    <w:p w14:paraId="006CBB1A" w14:textId="640A1264" w:rsidR="006E6E61" w:rsidRPr="00906A2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6A20">
        <w:rPr>
          <w:rFonts w:eastAsia="Times New Roman" w:cs="Times New Roman"/>
          <w:lang w:eastAsia="cs-CZ"/>
        </w:rPr>
        <w:t>O</w:t>
      </w:r>
      <w:r w:rsidR="006E6E61" w:rsidRPr="00906A20">
        <w:rPr>
          <w:rFonts w:eastAsia="Times New Roman" w:cs="Times New Roman"/>
          <w:lang w:eastAsia="cs-CZ"/>
        </w:rPr>
        <w:t>ceněný položkový rozpočet</w:t>
      </w:r>
    </w:p>
    <w:p w14:paraId="665289CB" w14:textId="7776F6F6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  <w:r w:rsidR="00906A20"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314AFFCD" w14:textId="0FEDAA50" w:rsidR="00D657AD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D657AD">
        <w:rPr>
          <w:rFonts w:eastAsia="Times New Roman" w:cs="Times New Roman"/>
          <w:highlight w:val="yellow"/>
          <w:lang w:eastAsia="cs-CZ"/>
        </w:rPr>
        <w:t>eznam realizačního týmu</w:t>
      </w:r>
      <w:r>
        <w:rPr>
          <w:rFonts w:eastAsia="Times New Roman" w:cs="Times New Roman"/>
          <w:highlight w:val="yellow"/>
          <w:lang w:eastAsia="cs-CZ"/>
        </w:rPr>
        <w:t>- doplní Zhotovitel</w:t>
      </w:r>
    </w:p>
    <w:p w14:paraId="2BAB7ED4" w14:textId="6D9AC794" w:rsidR="00324E90" w:rsidRPr="00906A20" w:rsidRDefault="00324E90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906A20">
        <w:rPr>
          <w:rFonts w:eastAsia="Times New Roman" w:cs="Times New Roman"/>
          <w:lang w:eastAsia="cs-CZ"/>
        </w:rPr>
        <w:t>Obchodní podmínky objednatele</w:t>
      </w:r>
    </w:p>
    <w:p w14:paraId="0E90F31F" w14:textId="77777777" w:rsidR="00324E90" w:rsidRDefault="00324E90" w:rsidP="00324E9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58E46B29" w14:textId="77777777" w:rsidR="00324E90" w:rsidRPr="00275474" w:rsidRDefault="00324E90" w:rsidP="00324E90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22969BA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V Olomouci</w:t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  <w:t xml:space="preserve">V ……………………….. </w:t>
      </w:r>
    </w:p>
    <w:p w14:paraId="69CA0020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>Správa železnic, státní organizace</w:t>
      </w:r>
      <w:r>
        <w:t xml:space="preserve">             </w:t>
      </w:r>
      <w:r>
        <w:rPr>
          <w:rFonts w:ascii="Verdana" w:eastAsia="Times New Roman" w:hAnsi="Verdana" w:cs="Times New Roman"/>
          <w:b/>
          <w:highlight w:val="yellow"/>
          <w:lang w:eastAsia="cs-CZ"/>
        </w:rPr>
        <w:t>………………………………………………..</w:t>
      </w:r>
    </w:p>
    <w:p w14:paraId="0573B9A0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43A4D51D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259096E6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36F9B578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24B3941D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1845D602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4A2FCA6A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</w:p>
    <w:p w14:paraId="26752D7C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>__________________________</w:t>
      </w:r>
      <w:r>
        <w:rPr>
          <w:rFonts w:ascii="Verdana" w:eastAsia="Times New Roman" w:hAnsi="Verdana" w:cs="Times New Roman"/>
          <w:b/>
          <w:lang w:eastAsia="cs-CZ"/>
        </w:rPr>
        <w:tab/>
        <w:t xml:space="preserve">                  _________________________</w:t>
      </w:r>
    </w:p>
    <w:p w14:paraId="785EB3E0" w14:textId="3E9D5F1C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lang w:eastAsia="cs-CZ"/>
        </w:rPr>
        <w:t xml:space="preserve">              Za Objednatele</w:t>
      </w:r>
      <w:r>
        <w:rPr>
          <w:rFonts w:ascii="Verdana" w:eastAsia="Times New Roman" w:hAnsi="Verdana" w:cs="Times New Roman"/>
          <w:b/>
          <w:lang w:eastAsia="cs-CZ"/>
        </w:rPr>
        <w:tab/>
      </w:r>
      <w:r>
        <w:rPr>
          <w:rFonts w:ascii="Verdana" w:eastAsia="Times New Roman" w:hAnsi="Verdana" w:cs="Times New Roman"/>
          <w:b/>
          <w:lang w:eastAsia="cs-CZ"/>
        </w:rPr>
        <w:tab/>
      </w:r>
      <w:r>
        <w:rPr>
          <w:rFonts w:ascii="Verdana" w:eastAsia="Times New Roman" w:hAnsi="Verdana" w:cs="Times New Roman"/>
          <w:b/>
          <w:lang w:eastAsia="cs-CZ"/>
        </w:rPr>
        <w:tab/>
      </w:r>
      <w:r>
        <w:rPr>
          <w:rFonts w:ascii="Verdana" w:eastAsia="Times New Roman" w:hAnsi="Verdana" w:cs="Times New Roman"/>
          <w:b/>
          <w:lang w:eastAsia="cs-CZ"/>
        </w:rPr>
        <w:tab/>
      </w:r>
      <w:r>
        <w:rPr>
          <w:rFonts w:ascii="Verdana" w:eastAsia="Times New Roman" w:hAnsi="Verdana" w:cs="Times New Roman"/>
          <w:b/>
          <w:lang w:eastAsia="cs-CZ"/>
        </w:rPr>
        <w:tab/>
        <w:t>Za Zhotovitele</w:t>
      </w:r>
    </w:p>
    <w:p w14:paraId="6427A3AA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Calibri" w:hAnsi="Verdana" w:cs="Times New Roman"/>
        </w:rPr>
      </w:pPr>
    </w:p>
    <w:p w14:paraId="5FBEA45F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Ing. Ladislav Kašpar</w:t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  <w:highlight w:val="yellow"/>
        </w:rPr>
        <w:t xml:space="preserve">       …………………………………….</w:t>
      </w:r>
    </w:p>
    <w:p w14:paraId="2FB4B4C4" w14:textId="77777777" w:rsidR="001A0F87" w:rsidRDefault="001A0F87" w:rsidP="001A0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</w:t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  <w:t>Ředitel</w:t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</w:rPr>
        <w:tab/>
      </w:r>
      <w:r>
        <w:rPr>
          <w:rFonts w:ascii="Verdana" w:eastAsia="Calibri" w:hAnsi="Verdana" w:cs="Times New Roman"/>
          <w:highlight w:val="yellow"/>
        </w:rPr>
        <w:t xml:space="preserve">      ……………………………………..</w:t>
      </w:r>
    </w:p>
    <w:p w14:paraId="7E126795" w14:textId="478E2B1E" w:rsidR="004429CF" w:rsidRDefault="001A0F8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eastAsia="Calibri" w:hAnsi="Verdana" w:cs="Times New Roman"/>
        </w:rPr>
        <w:t xml:space="preserve">      Oblastního ředitelství Olomouc</w:t>
      </w:r>
    </w:p>
    <w:sectPr w:rsidR="004429CF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5F647C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34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34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DA479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E403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9D26F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BF21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786D31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34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34B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0F58F278" w:rsidR="00592757" w:rsidRDefault="00592757" w:rsidP="00254DAD">
          <w:pPr>
            <w:pStyle w:val="Zpat"/>
          </w:pPr>
          <w:r>
            <w:t>www.</w:t>
          </w:r>
          <w:r w:rsidR="00254DAD">
            <w:t>spravazeleznic</w:t>
          </w:r>
          <w:r>
            <w:t>.cz</w:t>
          </w:r>
        </w:p>
      </w:tc>
      <w:tc>
        <w:tcPr>
          <w:tcW w:w="2921" w:type="dxa"/>
        </w:tcPr>
        <w:p w14:paraId="7A4E95DE" w14:textId="77777777" w:rsidR="00592757" w:rsidRDefault="00254DAD" w:rsidP="00093A53">
          <w:pPr>
            <w:pStyle w:val="Zpat"/>
          </w:pPr>
          <w:r>
            <w:t>Oblastní ředitelství Olomouc</w:t>
          </w:r>
        </w:p>
        <w:p w14:paraId="4E83E25E" w14:textId="77777777" w:rsidR="00254DAD" w:rsidRDefault="00254DAD" w:rsidP="00093A53">
          <w:pPr>
            <w:pStyle w:val="Zpat"/>
          </w:pPr>
          <w:r>
            <w:t>Nerudova 1</w:t>
          </w:r>
        </w:p>
        <w:p w14:paraId="0C29E961" w14:textId="67F17BDB" w:rsidR="00254DAD" w:rsidRDefault="00254DAD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9BA9170" wp14:editId="0E312F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4EEEA6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FEECA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C582D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1" layoutInCell="1" allowOverlap="1" wp14:anchorId="1DF84C8B" wp14:editId="08FA879C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379E7"/>
    <w:multiLevelType w:val="hybridMultilevel"/>
    <w:tmpl w:val="D360C7C8"/>
    <w:lvl w:ilvl="0" w:tplc="C8144D74">
      <w:start w:val="7"/>
      <w:numFmt w:val="bullet"/>
      <w:lvlText w:val="–"/>
      <w:lvlJc w:val="left"/>
      <w:pPr>
        <w:ind w:left="22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9D2144"/>
    <w:multiLevelType w:val="multilevel"/>
    <w:tmpl w:val="5736496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2"/>
  </w:num>
  <w:num w:numId="5">
    <w:abstractNumId w:val="10"/>
  </w:num>
  <w:num w:numId="6">
    <w:abstractNumId w:val="0"/>
  </w:num>
  <w:num w:numId="7">
    <w:abstractNumId w:val="12"/>
  </w:num>
  <w:num w:numId="8">
    <w:abstractNumId w:val="23"/>
  </w:num>
  <w:num w:numId="9">
    <w:abstractNumId w:val="14"/>
  </w:num>
  <w:num w:numId="10">
    <w:abstractNumId w:val="8"/>
  </w:num>
  <w:num w:numId="11">
    <w:abstractNumId w:val="2"/>
  </w:num>
  <w:num w:numId="12">
    <w:abstractNumId w:val="19"/>
  </w:num>
  <w:num w:numId="13">
    <w:abstractNumId w:val="21"/>
  </w:num>
  <w:num w:numId="14">
    <w:abstractNumId w:val="6"/>
  </w:num>
  <w:num w:numId="15">
    <w:abstractNumId w:val="24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3002"/>
    <w:rsid w:val="00114472"/>
    <w:rsid w:val="0013379C"/>
    <w:rsid w:val="001550BC"/>
    <w:rsid w:val="001605B9"/>
    <w:rsid w:val="00170EC5"/>
    <w:rsid w:val="001747C1"/>
    <w:rsid w:val="00184743"/>
    <w:rsid w:val="00193A76"/>
    <w:rsid w:val="001A0F87"/>
    <w:rsid w:val="001A6752"/>
    <w:rsid w:val="001C0FC2"/>
    <w:rsid w:val="001C298C"/>
    <w:rsid w:val="001D3AFC"/>
    <w:rsid w:val="001D68A6"/>
    <w:rsid w:val="001E487B"/>
    <w:rsid w:val="00207DF5"/>
    <w:rsid w:val="002313EA"/>
    <w:rsid w:val="0025341D"/>
    <w:rsid w:val="00254DA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24E90"/>
    <w:rsid w:val="00341DCF"/>
    <w:rsid w:val="00357BC6"/>
    <w:rsid w:val="0038088E"/>
    <w:rsid w:val="003956C6"/>
    <w:rsid w:val="003A0DCF"/>
    <w:rsid w:val="003A4D59"/>
    <w:rsid w:val="003A6C16"/>
    <w:rsid w:val="003B39EC"/>
    <w:rsid w:val="003B5DD6"/>
    <w:rsid w:val="003B5FC3"/>
    <w:rsid w:val="003D1F1E"/>
    <w:rsid w:val="003D703A"/>
    <w:rsid w:val="003F20D8"/>
    <w:rsid w:val="00401303"/>
    <w:rsid w:val="00414FB4"/>
    <w:rsid w:val="0042314E"/>
    <w:rsid w:val="00431925"/>
    <w:rsid w:val="00441430"/>
    <w:rsid w:val="004429CF"/>
    <w:rsid w:val="00450F07"/>
    <w:rsid w:val="00452103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D017C"/>
    <w:rsid w:val="007E4A6E"/>
    <w:rsid w:val="007F56A7"/>
    <w:rsid w:val="00807DD0"/>
    <w:rsid w:val="00810E9B"/>
    <w:rsid w:val="00816B59"/>
    <w:rsid w:val="00834BBA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06A2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E4BEC"/>
    <w:rsid w:val="009F392E"/>
    <w:rsid w:val="00A021CC"/>
    <w:rsid w:val="00A02EE7"/>
    <w:rsid w:val="00A157FE"/>
    <w:rsid w:val="00A334B0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4377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43AC1243-A730-4C8E-87F5-E816FB7E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Odrka1-1">
    <w:name w:val="_Odrážka_1-1_•"/>
    <w:basedOn w:val="Normln"/>
    <w:qFormat/>
    <w:rsid w:val="00D74377"/>
    <w:pPr>
      <w:numPr>
        <w:numId w:val="31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D74377"/>
    <w:pPr>
      <w:numPr>
        <w:ilvl w:val="1"/>
      </w:numPr>
      <w:tabs>
        <w:tab w:val="clear" w:pos="1531"/>
        <w:tab w:val="num" w:pos="360"/>
        <w:tab w:val="num" w:pos="1191"/>
      </w:tabs>
      <w:ind w:left="1077" w:hanging="453"/>
    </w:pPr>
  </w:style>
  <w:style w:type="paragraph" w:customStyle="1" w:styleId="Odrka1-3">
    <w:name w:val="_Odrážka_1-3_·"/>
    <w:basedOn w:val="Odrka1-2-"/>
    <w:qFormat/>
    <w:rsid w:val="00D74377"/>
    <w:pPr>
      <w:numPr>
        <w:ilvl w:val="2"/>
      </w:numPr>
      <w:tabs>
        <w:tab w:val="clear" w:pos="1928"/>
        <w:tab w:val="num" w:pos="360"/>
        <w:tab w:val="num" w:pos="1843"/>
      </w:tabs>
      <w:ind w:left="1729" w:hanging="6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emecJi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F8E97-0566-428C-8FE7-225429F3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2141</Words>
  <Characters>12637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12</cp:revision>
  <cp:lastPrinted>2017-11-28T17:18:00Z</cp:lastPrinted>
  <dcterms:created xsi:type="dcterms:W3CDTF">2020-01-30T07:34:00Z</dcterms:created>
  <dcterms:modified xsi:type="dcterms:W3CDTF">2021-08-09T08:06:00Z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